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F17A" w14:textId="77777777" w:rsidR="00A1504A" w:rsidRPr="008E1044" w:rsidRDefault="00A1504A" w:rsidP="00A1504A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  <w:sz w:val="20"/>
          <w:szCs w:val="20"/>
        </w:rPr>
      </w:pPr>
      <w:r w:rsidRPr="008E1044">
        <w:rPr>
          <w:rStyle w:val="Uwydatnienie"/>
          <w:b/>
          <w:bCs/>
          <w:i w:val="0"/>
          <w:iCs w:val="0"/>
          <w:sz w:val="20"/>
          <w:szCs w:val="20"/>
        </w:rPr>
        <w:t>KLAUZULA INFORMACYJNA</w:t>
      </w:r>
    </w:p>
    <w:p w14:paraId="49CDA605" w14:textId="6487E813" w:rsidR="00A1504A" w:rsidRPr="003A25C7" w:rsidRDefault="003A25C7" w:rsidP="00A1504A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iCs w:val="0"/>
          <w:sz w:val="20"/>
          <w:szCs w:val="20"/>
        </w:rPr>
      </w:pPr>
      <w:r w:rsidRPr="003A25C7">
        <w:rPr>
          <w:b/>
          <w:bCs/>
          <w:sz w:val="20"/>
          <w:szCs w:val="20"/>
        </w:rPr>
        <w:t>Udzielanie dotacji na prace konserwatorskie, restauratorskie lub roboty budowlane przy zabytkach wpisanych do rejestru zabytków lub znajdujących się w gminnej ewidencji zabytków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4722"/>
      </w:tblGrid>
      <w:tr w:rsidR="00A1504A" w:rsidRPr="00561196" w14:paraId="11ACE268" w14:textId="77777777" w:rsidTr="00C74B61">
        <w:tc>
          <w:tcPr>
            <w:tcW w:w="9606" w:type="dxa"/>
            <w:gridSpan w:val="2"/>
            <w:shd w:val="clear" w:color="auto" w:fill="auto"/>
          </w:tcPr>
          <w:p w14:paraId="7166D957" w14:textId="77777777" w:rsidR="00A1504A" w:rsidRPr="008E1044" w:rsidRDefault="00A1504A" w:rsidP="00C74B6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E1044">
              <w:rPr>
                <w:sz w:val="18"/>
                <w:szCs w:val="18"/>
              </w:rPr>
              <w:t>Na podstawie art. 13 ust. 1 i 2 r</w:t>
            </w:r>
            <w:r w:rsidRPr="008E1044">
              <w:rPr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8E1044">
              <w:rPr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8E1044">
              <w:rPr>
                <w:sz w:val="18"/>
                <w:szCs w:val="18"/>
                <w:shd w:val="clear" w:color="auto" w:fill="FFFFFF"/>
              </w:rPr>
              <w:t>. UE L 127 z 23 maja 2018 r., str. 2)</w:t>
            </w:r>
            <w:r w:rsidRPr="008E1044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A1504A" w:rsidRPr="00561196" w14:paraId="21D1C145" w14:textId="77777777" w:rsidTr="00C74B61">
        <w:tc>
          <w:tcPr>
            <w:tcW w:w="4606" w:type="dxa"/>
            <w:shd w:val="clear" w:color="auto" w:fill="auto"/>
          </w:tcPr>
          <w:p w14:paraId="307676BD" w14:textId="77777777" w:rsidR="00A1504A" w:rsidRPr="004F4D3D" w:rsidRDefault="00A1504A" w:rsidP="00C74B61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4F4D3D">
              <w:rPr>
                <w:sz w:val="18"/>
                <w:szCs w:val="18"/>
              </w:rPr>
              <w:t xml:space="preserve">Administratorem danych osobowych jest  Wójt Gminy Radziejów Możesz się z nim kontaktować w następujący sposób: listownie na adres siedziby: ul. Kościuszki 20/22, 88-200 Radziejów, e-mail: </w:t>
            </w:r>
            <w:hyperlink r:id="rId5" w:history="1">
              <w:r w:rsidRPr="004F4D3D">
                <w:rPr>
                  <w:rStyle w:val="Hipercze"/>
                  <w:color w:val="auto"/>
                  <w:sz w:val="18"/>
                  <w:szCs w:val="18"/>
                  <w:u w:val="none"/>
                </w:rPr>
                <w:t>info@ugradziejow.pl</w:t>
              </w:r>
            </w:hyperlink>
            <w:r w:rsidRPr="004F4D3D">
              <w:rPr>
                <w:sz w:val="18"/>
                <w:szCs w:val="18"/>
              </w:rPr>
              <w:t xml:space="preserve">, tel. 54 285 3686 </w:t>
            </w:r>
          </w:p>
        </w:tc>
        <w:tc>
          <w:tcPr>
            <w:tcW w:w="5000" w:type="dxa"/>
            <w:shd w:val="clear" w:color="auto" w:fill="auto"/>
          </w:tcPr>
          <w:p w14:paraId="4BB60B06" w14:textId="77777777" w:rsidR="00A1504A" w:rsidRPr="004F4D3D" w:rsidRDefault="00A1504A" w:rsidP="00C74B61">
            <w:pPr>
              <w:pStyle w:val="ng-scope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F4D3D">
              <w:rPr>
                <w:sz w:val="18"/>
                <w:szCs w:val="18"/>
              </w:rPr>
              <w:t>Do kontaktów w sprawie ochrony danych osobowych został także powołany inspektor ochrony danych, z którym  możesz się kontaktować wysyłając e-mail na adres</w:t>
            </w:r>
            <w:r>
              <w:rPr>
                <w:sz w:val="18"/>
                <w:szCs w:val="18"/>
              </w:rPr>
              <w:t>:</w:t>
            </w:r>
            <w:r w:rsidRPr="004F4D3D">
              <w:rPr>
                <w:sz w:val="18"/>
                <w:szCs w:val="18"/>
              </w:rPr>
              <w:t xml:space="preserve"> m.lochocki@jumi2012.pl</w:t>
            </w:r>
          </w:p>
        </w:tc>
      </w:tr>
    </w:tbl>
    <w:p w14:paraId="06F0309D" w14:textId="77777777" w:rsidR="00A1504A" w:rsidRPr="008E1044" w:rsidRDefault="00A1504A" w:rsidP="00A1504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16"/>
          <w:szCs w:val="16"/>
        </w:rPr>
      </w:pPr>
      <w:r w:rsidRPr="008E1044">
        <w:rPr>
          <w:b/>
          <w:sz w:val="16"/>
          <w:szCs w:val="16"/>
        </w:rPr>
        <w:t>Administrator przetwarza dane osobowe na podstawie:</w:t>
      </w:r>
      <w:r w:rsidRPr="008E1044">
        <w:rPr>
          <w:sz w:val="16"/>
          <w:szCs w:val="16"/>
        </w:rPr>
        <w:t xml:space="preserve"> </w:t>
      </w:r>
    </w:p>
    <w:p w14:paraId="4785A185" w14:textId="3FB4DE07" w:rsidR="00A1504A" w:rsidRPr="008E1044" w:rsidRDefault="00A1504A" w:rsidP="00A1504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art. 6 ust. 1 lit. c) RODO w związku z ustawą z dnia </w:t>
      </w:r>
      <w:r w:rsidR="003A25C7">
        <w:rPr>
          <w:sz w:val="16"/>
          <w:szCs w:val="16"/>
        </w:rPr>
        <w:t>23</w:t>
      </w:r>
      <w:r w:rsidRPr="008E1044">
        <w:rPr>
          <w:sz w:val="16"/>
          <w:szCs w:val="16"/>
        </w:rPr>
        <w:t xml:space="preserve"> </w:t>
      </w:r>
      <w:r w:rsidR="003A25C7">
        <w:rPr>
          <w:sz w:val="16"/>
          <w:szCs w:val="16"/>
        </w:rPr>
        <w:t>lipca</w:t>
      </w:r>
      <w:r w:rsidRPr="008E1044">
        <w:rPr>
          <w:sz w:val="16"/>
          <w:szCs w:val="16"/>
        </w:rPr>
        <w:t xml:space="preserve"> 20</w:t>
      </w:r>
      <w:r w:rsidR="003A25C7">
        <w:rPr>
          <w:sz w:val="16"/>
          <w:szCs w:val="16"/>
        </w:rPr>
        <w:t>03</w:t>
      </w:r>
      <w:r w:rsidRPr="008E1044">
        <w:rPr>
          <w:sz w:val="16"/>
          <w:szCs w:val="16"/>
        </w:rPr>
        <w:t xml:space="preserve"> r. </w:t>
      </w:r>
      <w:r w:rsidR="003A25C7">
        <w:rPr>
          <w:sz w:val="16"/>
          <w:szCs w:val="16"/>
        </w:rPr>
        <w:t>o ochronie zabytków i opiece nad zabytkami</w:t>
      </w:r>
      <w:r w:rsidRPr="008E1044">
        <w:rPr>
          <w:sz w:val="16"/>
          <w:szCs w:val="16"/>
        </w:rPr>
        <w:t>,</w:t>
      </w:r>
    </w:p>
    <w:p w14:paraId="6C9244C7" w14:textId="77777777" w:rsidR="00A1504A" w:rsidRPr="008E1044" w:rsidRDefault="00A1504A" w:rsidP="00A1504A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14:paraId="426581DA" w14:textId="77777777" w:rsidR="00A1504A" w:rsidRPr="008E1044" w:rsidRDefault="00A1504A" w:rsidP="00A1504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4B334FE7" w14:textId="77777777" w:rsidR="00A1504A" w:rsidRPr="008E1044" w:rsidRDefault="00A1504A" w:rsidP="00A1504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Dane osobowe także będą ujawnione pracownikom i współpracownikom administratora w zakresie niezbędnym do wykonywania przez nich obowiązków.</w:t>
      </w:r>
    </w:p>
    <w:p w14:paraId="0A8D243E" w14:textId="77777777" w:rsidR="00A1504A" w:rsidRPr="008E1044" w:rsidRDefault="00A1504A" w:rsidP="00A1504A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63B41166" w14:textId="77777777" w:rsidR="00A1504A" w:rsidRPr="008E1044" w:rsidRDefault="00A1504A" w:rsidP="00A1504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Dane osobowe przetwarzane będą do czasu istnienia podstawy do ich przetwarzania, w tym również przez okres przewidziany </w:t>
      </w:r>
      <w:r w:rsidRPr="008E1044">
        <w:rPr>
          <w:sz w:val="16"/>
          <w:szCs w:val="16"/>
        </w:rPr>
        <w:br/>
        <w:t>w przepisach dotyczących przechowywania i archiwizacji tj.:</w:t>
      </w:r>
    </w:p>
    <w:p w14:paraId="0E0C5CB6" w14:textId="77777777" w:rsidR="00A1504A" w:rsidRPr="008E1044" w:rsidRDefault="00A1504A" w:rsidP="003A25C7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do 10 lat od wykonania ostatniej czynności związanej z przetwarzaniem danych osobowych, </w:t>
      </w:r>
      <w:bookmarkStart w:id="0" w:name="_Hlk5110051"/>
    </w:p>
    <w:bookmarkEnd w:id="0"/>
    <w:p w14:paraId="0B4D5FC1" w14:textId="77777777" w:rsidR="00A1504A" w:rsidRPr="008E1044" w:rsidRDefault="00A1504A" w:rsidP="00A1504A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w zakresie danych, gdzie wyraziłeś zgodę na ich przetwarzanie, do czasu cofnięcie zgody, nie dłużej jednak niż do czasu wskazanego w pkt 1.</w:t>
      </w:r>
    </w:p>
    <w:p w14:paraId="325F13FB" w14:textId="77777777" w:rsidR="00A1504A" w:rsidRPr="008E1044" w:rsidRDefault="00A1504A" w:rsidP="00A1504A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W związku z przetwarzaniem danych osobowych przez Administratora masz prawo do:</w:t>
      </w:r>
    </w:p>
    <w:p w14:paraId="048E45C0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 xml:space="preserve">dostępu do treści danych na podstawie art. 15 RODO, </w:t>
      </w:r>
    </w:p>
    <w:p w14:paraId="611687C0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sprostowania danych na podstawie art. 16 RODO;</w:t>
      </w:r>
    </w:p>
    <w:p w14:paraId="3862C903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usunięcia danych na podstawie art. 17 RODO, jeżeli:</w:t>
      </w:r>
    </w:p>
    <w:p w14:paraId="40C64005" w14:textId="77777777" w:rsidR="00A1504A" w:rsidRPr="008E1044" w:rsidRDefault="00A1504A" w:rsidP="00A1504A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wycofasz zgodę na przetwarzanie danych osobowych;</w:t>
      </w:r>
    </w:p>
    <w:p w14:paraId="1092E80B" w14:textId="77777777" w:rsidR="00A1504A" w:rsidRPr="008E1044" w:rsidRDefault="00A1504A" w:rsidP="00A1504A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dane osobowe przestaną być niezbędne do celów, w których zostały zebrane lub w których były przetwarzane;</w:t>
      </w:r>
    </w:p>
    <w:p w14:paraId="6EDCBADF" w14:textId="77777777" w:rsidR="00A1504A" w:rsidRPr="008E1044" w:rsidRDefault="00A1504A" w:rsidP="00A1504A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ascii="Times New Roman" w:hAnsi="Times New Roman"/>
          <w:sz w:val="16"/>
          <w:szCs w:val="16"/>
          <w:lang w:val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dane są przetwarzane niezgodnie z prawem;</w:t>
      </w:r>
    </w:p>
    <w:p w14:paraId="24F9E4CA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ograniczenia przetwarzania danych na podstawie art. 18 RODO, jeżeli:</w:t>
      </w:r>
    </w:p>
    <w:p w14:paraId="21CAE2E4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kwestionuje prawidłowość danych osobowych;</w:t>
      </w:r>
    </w:p>
    <w:p w14:paraId="7F6EFF92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przetwarzanie jest niezgodne z prawem, a osoba, której dane dotyczą, sprzeciwia się usunięciu danych osobowych, żądając w zamian ograniczenia ich wykorzystywania;</w:t>
      </w:r>
    </w:p>
    <w:p w14:paraId="604F6D76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administrator nie potrzebuje już danych osobowych do celów przetwarzania, ale są one potrzebne osobie, której dane dotyczą, do ustalenia, dochodzenia lub obrony roszczeń;</w:t>
      </w:r>
    </w:p>
    <w:p w14:paraId="62273795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58C48AA" w14:textId="77777777" w:rsidR="00A1504A" w:rsidRPr="008E1044" w:rsidRDefault="00A1504A" w:rsidP="00A1504A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zgodnie z art. 2a § 3 KPA wystąpienie z żądaniem ograniczenia przetwarzania nie wpływa na tok i przebieg postepowania;</w:t>
      </w:r>
    </w:p>
    <w:p w14:paraId="41CC6D10" w14:textId="77777777" w:rsidR="00A1504A" w:rsidRPr="008E1044" w:rsidRDefault="00A1504A" w:rsidP="00A1504A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18" w:hanging="284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cofnięcia zgody w dowolnym momencie. Cofnięcie zgody nie wpływa na przetwarzanie danych dokonywane przez administratora przed jej cofnięciem</w:t>
      </w:r>
    </w:p>
    <w:p w14:paraId="5A80C757" w14:textId="77777777" w:rsidR="00A1504A" w:rsidRPr="008E1044" w:rsidRDefault="00A1504A" w:rsidP="00A1504A">
      <w:pPr>
        <w:widowControl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55387193"/>
      <w:proofErr w:type="spellStart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Podanie</w:t>
      </w:r>
      <w:proofErr w:type="spellEnd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proofErr w:type="spellStart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danych</w:t>
      </w:r>
      <w:proofErr w:type="spellEnd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:</w:t>
      </w:r>
    </w:p>
    <w:p w14:paraId="196C4E37" w14:textId="77777777" w:rsidR="00A1504A" w:rsidRPr="008E1044" w:rsidRDefault="00A1504A" w:rsidP="00A1504A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418" w:hanging="283"/>
        <w:jc w:val="both"/>
        <w:rPr>
          <w:sz w:val="16"/>
          <w:szCs w:val="16"/>
        </w:rPr>
      </w:pPr>
      <w:r w:rsidRPr="008E1044">
        <w:rPr>
          <w:sz w:val="16"/>
          <w:szCs w:val="16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6B016640" w14:textId="77777777" w:rsidR="00A1504A" w:rsidRPr="008E1044" w:rsidRDefault="00A1504A" w:rsidP="00A1504A">
      <w:pPr>
        <w:widowControl/>
        <w:numPr>
          <w:ilvl w:val="0"/>
          <w:numId w:val="5"/>
        </w:numPr>
        <w:tabs>
          <w:tab w:val="left" w:pos="426"/>
        </w:tabs>
        <w:spacing w:after="0"/>
        <w:ind w:left="1418" w:hanging="294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hAnsi="Times New Roman"/>
          <w:sz w:val="16"/>
          <w:szCs w:val="16"/>
          <w:lang w:val="pl-PL"/>
        </w:rPr>
        <w:t>jest dobrowolne, gdy odbywa się na podstawie Twojej zgody, która może być cofnięta w dowolnym momencie</w:t>
      </w:r>
    </w:p>
    <w:p w14:paraId="2FBC9006" w14:textId="77777777" w:rsidR="00A1504A" w:rsidRPr="008E1044" w:rsidRDefault="00A1504A" w:rsidP="00A1504A">
      <w:pPr>
        <w:widowControl/>
        <w:numPr>
          <w:ilvl w:val="0"/>
          <w:numId w:val="6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Przysługuje Ci także skarga do organu nadzorczego - Prezesa Urzędu Ochrony Danych Osobowych – Warszawa, </w:t>
      </w:r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br/>
        <w:t>ul. Stawki 2, gdy uznasz, iż przetwarzanie Twoich danych osobowych narusza przepisy ogólnego rozporządzenia o ochronie danych osobowych z dnia 27 kwietnia 2016 r</w:t>
      </w:r>
      <w:bookmarkEnd w:id="1"/>
      <w:r w:rsidRPr="008E1044">
        <w:rPr>
          <w:rFonts w:ascii="Times New Roman" w:eastAsia="Times New Roman" w:hAnsi="Times New Roman"/>
          <w:sz w:val="16"/>
          <w:szCs w:val="16"/>
          <w:lang w:val="pl-PL" w:eastAsia="pl-PL"/>
        </w:rPr>
        <w:t>.</w:t>
      </w:r>
    </w:p>
    <w:p w14:paraId="6FEE09DF" w14:textId="77777777" w:rsidR="00A1504A" w:rsidRDefault="00A1504A" w:rsidP="00A1504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5382378"/>
      <w:r w:rsidRPr="008E1044">
        <w:rPr>
          <w:rFonts w:ascii="Times New Roman" w:hAnsi="Times New Roman"/>
          <w:sz w:val="16"/>
          <w:szCs w:val="16"/>
        </w:rPr>
        <w:t>Dane nie będą poddawane zautomatyzowanemu podejmowaniu decyzji, w tym również profilowaniu</w:t>
      </w:r>
      <w:bookmarkEnd w:id="2"/>
      <w:r w:rsidRPr="008E1044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19FDAC18" w14:textId="77777777" w:rsidR="00A1504A" w:rsidRPr="00561196" w:rsidRDefault="00A1504A" w:rsidP="00A1504A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61196">
        <w:rPr>
          <w:rFonts w:ascii="Times New Roman" w:eastAsia="Times New Roman" w:hAnsi="Times New Roman"/>
          <w:sz w:val="16"/>
          <w:szCs w:val="16"/>
          <w:lang w:eastAsia="pl-PL"/>
        </w:rPr>
        <w:t>Administrator nie przekazuje danych osobowych do państwa trzeciego lub organizacji międzynarodowych</w:t>
      </w:r>
    </w:p>
    <w:p w14:paraId="10962FDB" w14:textId="77777777" w:rsidR="00BA13DC" w:rsidRDefault="00BA13DC"/>
    <w:sectPr w:rsidR="00BA1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4420A"/>
    <w:multiLevelType w:val="hybridMultilevel"/>
    <w:tmpl w:val="DF9031AC"/>
    <w:lvl w:ilvl="0" w:tplc="923A3558">
      <w:start w:val="1"/>
      <w:numFmt w:val="decimal"/>
      <w:lvlText w:val="%1)"/>
      <w:lvlJc w:val="left"/>
      <w:pPr>
        <w:ind w:left="1287" w:hanging="360"/>
      </w:pPr>
    </w:lvl>
    <w:lvl w:ilvl="1" w:tplc="56AA24A2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868180995">
    <w:abstractNumId w:val="3"/>
  </w:num>
  <w:num w:numId="2" w16cid:durableId="633096232">
    <w:abstractNumId w:val="1"/>
  </w:num>
  <w:num w:numId="3" w16cid:durableId="1762214883">
    <w:abstractNumId w:val="5"/>
  </w:num>
  <w:num w:numId="4" w16cid:durableId="255984494">
    <w:abstractNumId w:val="6"/>
  </w:num>
  <w:num w:numId="5" w16cid:durableId="1174493587">
    <w:abstractNumId w:val="4"/>
  </w:num>
  <w:num w:numId="6" w16cid:durableId="920213870">
    <w:abstractNumId w:val="2"/>
  </w:num>
  <w:num w:numId="7" w16cid:durableId="27309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4A"/>
    <w:rsid w:val="003A25C7"/>
    <w:rsid w:val="00966212"/>
    <w:rsid w:val="00A1504A"/>
    <w:rsid w:val="00B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FE6A"/>
  <w15:chartTrackingRefBased/>
  <w15:docId w15:val="{6C333907-B05B-4C35-AC7A-CE72302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04A"/>
    <w:pPr>
      <w:widowControl w:val="0"/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150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50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A1504A"/>
    <w:rPr>
      <w:i/>
      <w:iCs/>
    </w:rPr>
  </w:style>
  <w:style w:type="character" w:styleId="Hipercze">
    <w:name w:val="Hyperlink"/>
    <w:unhideWhenUsed/>
    <w:rsid w:val="00A150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504A"/>
    <w:pPr>
      <w:widowControl/>
      <w:spacing w:after="160" w:line="259" w:lineRule="auto"/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g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Brochocka</dc:creator>
  <cp:keywords/>
  <dc:description/>
  <cp:lastModifiedBy>Arleta Brochocka</cp:lastModifiedBy>
  <cp:revision>2</cp:revision>
  <dcterms:created xsi:type="dcterms:W3CDTF">2023-03-28T06:32:00Z</dcterms:created>
  <dcterms:modified xsi:type="dcterms:W3CDTF">2023-03-28T06:37:00Z</dcterms:modified>
</cp:coreProperties>
</file>